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E9" w:rsidRDefault="006322DB" w:rsidP="006322DB">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b/>
        </w:rPr>
        <w:t>SZCZEGÓŁOWY OPIS PRZEDMIOTU ZAMÓWIENIA – CZĘŚĆ V</w:t>
      </w:r>
    </w:p>
    <w:p w:rsidR="006322DB" w:rsidRPr="00BA42E9" w:rsidRDefault="006322DB" w:rsidP="00BA42E9">
      <w:pPr>
        <w:spacing w:after="0" w:line="240" w:lineRule="auto"/>
        <w:rPr>
          <w:rFonts w:ascii="Times New Roman" w:eastAsia="Times New Roman" w:hAnsi="Times New Roman" w:cs="Times New Roman"/>
          <w:color w:val="000000"/>
          <w:lang w:eastAsia="pl-PL"/>
        </w:rPr>
      </w:pPr>
    </w:p>
    <w:tbl>
      <w:tblPr>
        <w:tblW w:w="10251"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846"/>
        <w:gridCol w:w="9405"/>
      </w:tblGrid>
      <w:tr w:rsidR="00447081" w:rsidRPr="00BA42E9" w:rsidTr="00447081">
        <w:trPr>
          <w:trHeight w:val="567"/>
          <w:jc w:val="center"/>
        </w:trPr>
        <w:tc>
          <w:tcPr>
            <w:tcW w:w="84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hideMark/>
          </w:tcPr>
          <w:p w:rsidR="00447081" w:rsidRPr="00447081" w:rsidRDefault="00447081" w:rsidP="00033C04">
            <w:pPr>
              <w:snapToGrid w:val="0"/>
              <w:spacing w:after="0" w:line="240" w:lineRule="atLeast"/>
              <w:jc w:val="center"/>
              <w:rPr>
                <w:rFonts w:ascii="Times New Roman" w:hAnsi="Times New Roman" w:cs="Times New Roman"/>
                <w:b/>
              </w:rPr>
            </w:pPr>
            <w:r w:rsidRPr="00447081">
              <w:rPr>
                <w:rFonts w:ascii="Times New Roman" w:hAnsi="Times New Roman" w:cs="Times New Roman"/>
                <w:b/>
                <w:lang w:eastAsia="pl-PL"/>
              </w:rPr>
              <w:t>L.p.</w:t>
            </w:r>
          </w:p>
        </w:tc>
        <w:tc>
          <w:tcPr>
            <w:tcW w:w="9405"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447081" w:rsidRPr="00447081" w:rsidRDefault="00447081" w:rsidP="00033C04">
            <w:pPr>
              <w:snapToGrid w:val="0"/>
              <w:spacing w:after="0" w:line="240" w:lineRule="atLeast"/>
              <w:jc w:val="center"/>
              <w:rPr>
                <w:rFonts w:ascii="Times New Roman" w:hAnsi="Times New Roman" w:cs="Times New Roman"/>
                <w:b/>
              </w:rPr>
            </w:pPr>
            <w:r w:rsidRPr="00447081">
              <w:rPr>
                <w:rFonts w:ascii="Times New Roman" w:hAnsi="Times New Roman" w:cs="Times New Roman"/>
                <w:b/>
                <w:lang w:eastAsia="pl-PL"/>
              </w:rPr>
              <w:t>Parametry wymagane</w:t>
            </w:r>
          </w:p>
        </w:tc>
      </w:tr>
      <w:tr w:rsidR="00BA42E9" w:rsidRPr="00BA42E9" w:rsidTr="00447081">
        <w:trPr>
          <w:trHeight w:val="567"/>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hideMark/>
          </w:tcPr>
          <w:p w:rsidR="00BA42E9" w:rsidRPr="00BA42E9" w:rsidRDefault="00BA42E9" w:rsidP="00033C04">
            <w:pPr>
              <w:pStyle w:val="Akapitzlist"/>
              <w:numPr>
                <w:ilvl w:val="0"/>
                <w:numId w:val="5"/>
              </w:numPr>
              <w:spacing w:after="0" w:line="240" w:lineRule="atLeast"/>
              <w:ind w:left="568" w:hanging="284"/>
              <w:rPr>
                <w:rFonts w:ascii="Times New Roman" w:hAnsi="Times New Roman" w:cs="Times New Roman"/>
              </w:rPr>
            </w:pPr>
            <w:r w:rsidRPr="00BA42E9">
              <w:rPr>
                <w:rFonts w:ascii="Times New Roman" w:hAnsi="Times New Roman" w:cs="Times New Roman"/>
                <w:b/>
                <w:bCs/>
                <w:lang w:eastAsia="pl-PL"/>
              </w:rPr>
              <w:t xml:space="preserve">Oprogramowanie – pakiet biurowy – 7 szt. </w:t>
            </w:r>
          </w:p>
        </w:tc>
      </w:tr>
      <w:tr w:rsidR="00BA42E9" w:rsidRPr="00BA42E9" w:rsidTr="00447081">
        <w:trPr>
          <w:trHeight w:val="6494"/>
          <w:jc w:val="center"/>
        </w:trPr>
        <w:tc>
          <w:tcPr>
            <w:tcW w:w="1025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A42E9" w:rsidRPr="00BA42E9" w:rsidRDefault="00BA42E9" w:rsidP="00255E46">
            <w:pPr>
              <w:snapToGrid w:val="0"/>
              <w:spacing w:after="0" w:line="240" w:lineRule="atLeast"/>
              <w:ind w:left="113"/>
              <w:jc w:val="both"/>
              <w:rPr>
                <w:rFonts w:ascii="Times New Roman" w:hAnsi="Times New Roman" w:cs="Times New Roman"/>
              </w:rPr>
            </w:pPr>
            <w:r w:rsidRPr="00BA42E9">
              <w:rPr>
                <w:rFonts w:ascii="Times New Roman" w:hAnsi="Times New Roman" w:cs="Times New Roman"/>
                <w:bCs/>
                <w:lang w:eastAsia="pl-PL"/>
              </w:rPr>
              <w:t xml:space="preserve">Microsoft Office </w:t>
            </w:r>
            <w:r w:rsidRPr="00BA42E9">
              <w:rPr>
                <w:rFonts w:ascii="Times New Roman" w:hAnsi="Times New Roman" w:cs="Times New Roman"/>
                <w:bCs/>
                <w:color w:val="000000"/>
                <w:lang w:eastAsia="pl-PL"/>
              </w:rPr>
              <w:t xml:space="preserve">2016 </w:t>
            </w:r>
            <w:r w:rsidRPr="00BA42E9">
              <w:rPr>
                <w:rFonts w:ascii="Times New Roman" w:hAnsi="Times New Roman" w:cs="Times New Roman"/>
                <w:bCs/>
                <w:lang w:eastAsia="pl-PL"/>
              </w:rPr>
              <w:t xml:space="preserve">PL dla Użytkowników Domowych i Małych Firm PL; licencja nieograniczona czasowo </w:t>
            </w:r>
            <w:r w:rsidRPr="00BA42E9">
              <w:rPr>
                <w:rFonts w:ascii="Times New Roman" w:hAnsi="Times New Roman" w:cs="Times New Roman"/>
                <w:bCs/>
                <w:lang w:eastAsia="pl-PL"/>
              </w:rPr>
              <w:br/>
              <w:t>(z oprogramowaniem Word, Excel, Outlook, PowerPoint) lub inne równoważne, charakteryzujące się następującymi parametrami:</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lang w:eastAsia="pl-PL"/>
              </w:rPr>
            </w:pPr>
            <w:r w:rsidRPr="00BA42E9">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lang w:eastAsia="pl-PL"/>
              </w:rPr>
            </w:pPr>
            <w:r w:rsidRPr="00BA42E9">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lang w:eastAsia="zh-CN"/>
              </w:rPr>
            </w:pPr>
            <w:r w:rsidRPr="00BA42E9">
              <w:rPr>
                <w:rFonts w:ascii="Times New Roman" w:hAnsi="Times New Roman" w:cs="Times New Roman"/>
                <w:lang w:eastAsia="pl-PL"/>
              </w:rPr>
              <w:t>oprogramowanie musi być w pełni kompatybilne z aplikacjami Ministerstwa Finansów, w szczególności BUZA, Systemem Elektronicznego Zarządzania Dokumentacją (EZD) użytkowanym przez Zamawiającego</w:t>
            </w:r>
            <w:r w:rsidRPr="00BA42E9">
              <w:rPr>
                <w:rStyle w:val="Pogrubienie"/>
                <w:rFonts w:ascii="Times New Roman" w:hAnsi="Times New Roman" w:cs="Times New Roman"/>
              </w:rPr>
              <w:t>,</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lang w:eastAsia="pl-PL"/>
              </w:rPr>
            </w:pPr>
            <w:r w:rsidRPr="00BA42E9">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lang w:eastAsia="pl-PL"/>
              </w:rPr>
            </w:pPr>
            <w:r w:rsidRPr="00BA42E9">
              <w:rPr>
                <w:rFonts w:ascii="Times New Roman" w:hAnsi="Times New Roman" w:cs="Times New Roman"/>
                <w:lang w:eastAsia="pl-PL"/>
              </w:rPr>
              <w:t>prawa licencyjne nie mogą ograniczać możliwości wykorzystania oprogramowania przez pracowników zamawiającego,</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hAnsi="Times New Roman" w:cs="Times New Roman"/>
                <w:bCs/>
                <w:lang w:eastAsia="zh-CN"/>
              </w:rPr>
            </w:pPr>
            <w:r w:rsidRPr="00BA42E9">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rsidR="00BA42E9" w:rsidRPr="00BA42E9" w:rsidRDefault="00BA42E9" w:rsidP="00255E46">
            <w:pPr>
              <w:widowControl w:val="0"/>
              <w:numPr>
                <w:ilvl w:val="0"/>
                <w:numId w:val="3"/>
              </w:numPr>
              <w:snapToGrid w:val="0"/>
              <w:spacing w:after="0" w:line="240" w:lineRule="atLeast"/>
              <w:ind w:left="340" w:right="284" w:hanging="227"/>
              <w:jc w:val="both"/>
              <w:rPr>
                <w:rFonts w:ascii="Times New Roman" w:eastAsia="Times New Roman" w:hAnsi="Times New Roman" w:cs="Times New Roman"/>
                <w:lang w:eastAsia="pl-PL"/>
              </w:rPr>
            </w:pPr>
            <w:r w:rsidRPr="00BA42E9">
              <w:rPr>
                <w:rFonts w:ascii="Times New Roman" w:eastAsia="Times New Roman" w:hAnsi="Times New Roman" w:cs="Times New Roman"/>
                <w:lang w:eastAsia="pl-PL"/>
              </w:rPr>
              <w:t>produkt musi być nowy, wcześniej nie rejestrowany,</w:t>
            </w:r>
          </w:p>
          <w:p w:rsidR="00BA42E9" w:rsidRPr="00255E46" w:rsidRDefault="00BA42E9" w:rsidP="00255E46">
            <w:pPr>
              <w:widowControl w:val="0"/>
              <w:numPr>
                <w:ilvl w:val="0"/>
                <w:numId w:val="3"/>
              </w:numPr>
              <w:snapToGrid w:val="0"/>
              <w:spacing w:after="0" w:line="240" w:lineRule="atLeast"/>
              <w:ind w:left="340" w:right="284" w:hanging="227"/>
              <w:jc w:val="both"/>
              <w:rPr>
                <w:rFonts w:ascii="Times New Roman" w:eastAsia="WenQuanYi Zen Hei" w:hAnsi="Times New Roman" w:cs="Times New Roman"/>
                <w:i/>
                <w:lang w:eastAsia="zh-CN" w:bidi="hi-IN"/>
              </w:rPr>
            </w:pPr>
            <w:r w:rsidRPr="00255E46">
              <w:rPr>
                <w:rStyle w:val="Wyrnienie"/>
                <w:rFonts w:ascii="Times New Roman" w:hAnsi="Times New Roman" w:cs="Times New Roman"/>
                <w:i w:val="0"/>
              </w:rPr>
              <w:t>produkt musi pochodzić z legalnego źródła.</w:t>
            </w:r>
          </w:p>
        </w:tc>
      </w:tr>
    </w:tbl>
    <w:p w:rsidR="00BA42E9" w:rsidRPr="00BA42E9" w:rsidRDefault="00BA42E9" w:rsidP="00255E46">
      <w:pPr>
        <w:spacing w:after="0" w:line="240" w:lineRule="auto"/>
        <w:rPr>
          <w:rFonts w:ascii="Times New Roman" w:eastAsia="WenQuanYi Zen Hei" w:hAnsi="Times New Roman" w:cs="Times New Roman"/>
          <w:kern w:val="2"/>
          <w:lang w:eastAsia="zh-CN" w:bidi="hi-IN"/>
        </w:rPr>
      </w:pPr>
    </w:p>
    <w:tbl>
      <w:tblPr>
        <w:tblW w:w="10251" w:type="dxa"/>
        <w:jc w:val="center"/>
        <w:tblLayout w:type="fixed"/>
        <w:tblCellMar>
          <w:left w:w="0" w:type="dxa"/>
          <w:right w:w="0" w:type="dxa"/>
        </w:tblCellMar>
        <w:tblLook w:val="0000" w:firstRow="0" w:lastRow="0" w:firstColumn="0" w:lastColumn="0" w:noHBand="0" w:noVBand="0"/>
      </w:tblPr>
      <w:tblGrid>
        <w:gridCol w:w="742"/>
        <w:gridCol w:w="9499"/>
        <w:gridCol w:w="10"/>
      </w:tblGrid>
      <w:tr w:rsidR="00BA42E9" w:rsidRPr="00BA42E9" w:rsidTr="00B9182E">
        <w:trPr>
          <w:trHeight w:val="567"/>
          <w:jc w:val="center"/>
        </w:trPr>
        <w:tc>
          <w:tcPr>
            <w:tcW w:w="709" w:type="dxa"/>
            <w:tcBorders>
              <w:top w:val="single" w:sz="8" w:space="0" w:color="000000"/>
              <w:left w:val="single" w:sz="8" w:space="0" w:color="000000"/>
              <w:bottom w:val="single" w:sz="8" w:space="0" w:color="000000"/>
            </w:tcBorders>
            <w:shd w:val="clear" w:color="auto" w:fill="A6A6A6" w:themeFill="background1" w:themeFillShade="A6"/>
            <w:vAlign w:val="center"/>
          </w:tcPr>
          <w:p w:rsidR="00BA42E9" w:rsidRPr="00BA42E9" w:rsidRDefault="00BA42E9" w:rsidP="003D2786">
            <w:pPr>
              <w:pStyle w:val="Normal1"/>
              <w:tabs>
                <w:tab w:val="left" w:pos="708"/>
                <w:tab w:val="left" w:pos="1416"/>
              </w:tabs>
              <w:jc w:val="center"/>
              <w:rPr>
                <w:b/>
                <w:sz w:val="22"/>
                <w:szCs w:val="22"/>
                <w:lang w:val="pl-PL" w:eastAsia="pl-PL"/>
              </w:rPr>
            </w:pPr>
            <w:r w:rsidRPr="00BA42E9">
              <w:rPr>
                <w:b/>
                <w:sz w:val="22"/>
                <w:szCs w:val="22"/>
                <w:lang w:val="pl-PL" w:eastAsia="pl-PL"/>
              </w:rPr>
              <w:t>L.p.</w:t>
            </w:r>
          </w:p>
        </w:tc>
        <w:tc>
          <w:tcPr>
            <w:tcW w:w="9092"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BA42E9" w:rsidRPr="00BA42E9" w:rsidRDefault="00BA42E9" w:rsidP="00033C04">
            <w:pPr>
              <w:pStyle w:val="Normal1"/>
              <w:tabs>
                <w:tab w:val="left" w:pos="708"/>
                <w:tab w:val="left" w:pos="1416"/>
              </w:tabs>
              <w:jc w:val="center"/>
              <w:rPr>
                <w:sz w:val="22"/>
                <w:szCs w:val="22"/>
              </w:rPr>
            </w:pPr>
            <w:r w:rsidRPr="00BA42E9">
              <w:rPr>
                <w:b/>
                <w:sz w:val="22"/>
                <w:szCs w:val="22"/>
                <w:lang w:val="pl-PL" w:eastAsia="pl-PL"/>
              </w:rPr>
              <w:t>Parametry wymagane</w:t>
            </w:r>
          </w:p>
        </w:tc>
      </w:tr>
      <w:tr w:rsidR="00BA42E9" w:rsidRPr="00BA42E9" w:rsidTr="00B9182E">
        <w:tblPrEx>
          <w:tblCellMar>
            <w:left w:w="108" w:type="dxa"/>
            <w:right w:w="108" w:type="dxa"/>
          </w:tblCellMar>
        </w:tblPrEx>
        <w:trPr>
          <w:gridAfter w:val="1"/>
          <w:wAfter w:w="10" w:type="dxa"/>
          <w:trHeight w:val="567"/>
          <w:jc w:val="center"/>
        </w:trPr>
        <w:tc>
          <w:tcPr>
            <w:tcW w:w="979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BA42E9" w:rsidRPr="00BA42E9" w:rsidRDefault="00BA42E9" w:rsidP="00033C04">
            <w:pPr>
              <w:pStyle w:val="Akapitzlist"/>
              <w:numPr>
                <w:ilvl w:val="0"/>
                <w:numId w:val="5"/>
              </w:numPr>
              <w:spacing w:after="0" w:line="240" w:lineRule="atLeast"/>
              <w:ind w:left="568" w:hanging="284"/>
              <w:rPr>
                <w:rFonts w:ascii="Times New Roman" w:hAnsi="Times New Roman" w:cs="Times New Roman"/>
              </w:rPr>
            </w:pPr>
            <w:r>
              <w:rPr>
                <w:rFonts w:ascii="Times New Roman" w:hAnsi="Times New Roman" w:cs="Times New Roman"/>
                <w:b/>
              </w:rPr>
              <w:t>KVM</w:t>
            </w:r>
            <w:r w:rsidRPr="00BA42E9">
              <w:rPr>
                <w:rFonts w:ascii="Times New Roman" w:hAnsi="Times New Roman" w:cs="Times New Roman"/>
                <w:b/>
              </w:rPr>
              <w:t xml:space="preserve"> – 9 szt. </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b/>
              </w:rPr>
            </w:pPr>
            <w:r w:rsidRPr="00BA42E9">
              <w:rPr>
                <w:rFonts w:ascii="Times New Roman" w:hAnsi="Times New Roman" w:cs="Times New Roman"/>
              </w:rPr>
              <w:t>1</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785438">
            <w:pPr>
              <w:snapToGrid w:val="0"/>
              <w:spacing w:after="0"/>
              <w:rPr>
                <w:rFonts w:ascii="Times New Roman" w:hAnsi="Times New Roman" w:cs="Times New Roman"/>
              </w:rPr>
            </w:pPr>
            <w:r w:rsidRPr="00BA42E9">
              <w:rPr>
                <w:rFonts w:ascii="Times New Roman" w:hAnsi="Times New Roman" w:cs="Times New Roman"/>
                <w:b/>
              </w:rPr>
              <w:t>Liczba obsługiwanych komputerów</w:t>
            </w:r>
            <w:r w:rsidRPr="00BA42E9">
              <w:rPr>
                <w:rFonts w:ascii="Times New Roman" w:hAnsi="Times New Roman" w:cs="Times New Roman"/>
              </w:rPr>
              <w:t xml:space="preserve"> </w:t>
            </w:r>
            <w:r w:rsidR="00255E46">
              <w:rPr>
                <w:rFonts w:ascii="Times New Roman" w:hAnsi="Times New Roman" w:cs="Times New Roman"/>
              </w:rPr>
              <w:t>–</w:t>
            </w:r>
            <w:r w:rsidRPr="00BA42E9">
              <w:rPr>
                <w:rFonts w:ascii="Times New Roman" w:hAnsi="Times New Roman" w:cs="Times New Roman"/>
              </w:rPr>
              <w:t xml:space="preserve"> 2</w:t>
            </w:r>
            <w:r w:rsidR="00255E46">
              <w:rPr>
                <w:rFonts w:ascii="Times New Roman" w:hAnsi="Times New Roman" w:cs="Times New Roman"/>
              </w:rPr>
              <w:t xml:space="preserve">. </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b/>
              </w:rPr>
            </w:pPr>
            <w:r w:rsidRPr="00BA42E9">
              <w:rPr>
                <w:rFonts w:ascii="Times New Roman" w:hAnsi="Times New Roman" w:cs="Times New Roman"/>
              </w:rPr>
              <w:t>2</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BA42E9">
            <w:pPr>
              <w:spacing w:after="0"/>
              <w:rPr>
                <w:rFonts w:ascii="Times New Roman" w:hAnsi="Times New Roman" w:cs="Times New Roman"/>
              </w:rPr>
            </w:pPr>
            <w:r w:rsidRPr="00BA42E9">
              <w:rPr>
                <w:rFonts w:ascii="Times New Roman" w:hAnsi="Times New Roman" w:cs="Times New Roman"/>
                <w:b/>
              </w:rPr>
              <w:t xml:space="preserve">Wybór PC – </w:t>
            </w:r>
            <w:r w:rsidRPr="00BA42E9">
              <w:rPr>
                <w:rFonts w:ascii="Times New Roman" w:hAnsi="Times New Roman" w:cs="Times New Roman"/>
              </w:rPr>
              <w:t>klawisz skrótu</w:t>
            </w:r>
            <w:r w:rsidR="00255E46">
              <w:rPr>
                <w:rFonts w:ascii="Times New Roman" w:hAnsi="Times New Roman" w:cs="Times New Roman"/>
              </w:rPr>
              <w:t>.</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b/>
              </w:rPr>
            </w:pPr>
            <w:r w:rsidRPr="00BA42E9">
              <w:rPr>
                <w:rFonts w:ascii="Times New Roman" w:hAnsi="Times New Roman" w:cs="Times New Roman"/>
              </w:rPr>
              <w:t>3</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785438">
            <w:pPr>
              <w:snapToGrid w:val="0"/>
              <w:spacing w:after="0"/>
              <w:rPr>
                <w:rFonts w:ascii="Times New Roman" w:hAnsi="Times New Roman" w:cs="Times New Roman"/>
              </w:rPr>
            </w:pPr>
            <w:r w:rsidRPr="00BA42E9">
              <w:rPr>
                <w:rFonts w:ascii="Times New Roman" w:hAnsi="Times New Roman" w:cs="Times New Roman"/>
                <w:b/>
              </w:rPr>
              <w:t xml:space="preserve">Porty PC – </w:t>
            </w:r>
            <w:r w:rsidRPr="00BA42E9">
              <w:rPr>
                <w:rFonts w:ascii="Times New Roman" w:hAnsi="Times New Roman" w:cs="Times New Roman"/>
              </w:rPr>
              <w:t xml:space="preserve">USB (mysz) </w:t>
            </w:r>
            <w:r w:rsidR="00255E46">
              <w:rPr>
                <w:rFonts w:ascii="Times New Roman" w:hAnsi="Times New Roman" w:cs="Times New Roman"/>
              </w:rPr>
              <w:t xml:space="preserve">- </w:t>
            </w:r>
            <w:r w:rsidRPr="00BA42E9">
              <w:rPr>
                <w:rFonts w:ascii="Times New Roman" w:hAnsi="Times New Roman" w:cs="Times New Roman"/>
              </w:rPr>
              <w:t xml:space="preserve">2 szt., USB (klawiatura) </w:t>
            </w:r>
            <w:r w:rsidR="00255E46">
              <w:rPr>
                <w:rFonts w:ascii="Times New Roman" w:hAnsi="Times New Roman" w:cs="Times New Roman"/>
              </w:rPr>
              <w:t xml:space="preserve">– </w:t>
            </w:r>
            <w:r w:rsidRPr="00BA42E9">
              <w:rPr>
                <w:rFonts w:ascii="Times New Roman" w:hAnsi="Times New Roman" w:cs="Times New Roman"/>
              </w:rPr>
              <w:t>2</w:t>
            </w:r>
            <w:r w:rsidR="00255E46">
              <w:rPr>
                <w:rFonts w:ascii="Times New Roman" w:hAnsi="Times New Roman" w:cs="Times New Roman"/>
              </w:rPr>
              <w:t xml:space="preserve"> </w:t>
            </w:r>
            <w:r w:rsidRPr="00BA42E9">
              <w:rPr>
                <w:rFonts w:ascii="Times New Roman" w:hAnsi="Times New Roman" w:cs="Times New Roman"/>
              </w:rPr>
              <w:t xml:space="preserve">szt., VGA (D-SUB) </w:t>
            </w:r>
            <w:r w:rsidR="00255E46">
              <w:rPr>
                <w:rFonts w:ascii="Times New Roman" w:hAnsi="Times New Roman" w:cs="Times New Roman"/>
              </w:rPr>
              <w:t xml:space="preserve">- </w:t>
            </w:r>
            <w:r w:rsidRPr="00BA42E9">
              <w:rPr>
                <w:rFonts w:ascii="Times New Roman" w:hAnsi="Times New Roman" w:cs="Times New Roman"/>
              </w:rPr>
              <w:t xml:space="preserve">2 szt., wyjście audio </w:t>
            </w:r>
            <w:proofErr w:type="spellStart"/>
            <w:r w:rsidRPr="00BA42E9">
              <w:rPr>
                <w:rFonts w:ascii="Times New Roman" w:hAnsi="Times New Roman" w:cs="Times New Roman"/>
              </w:rPr>
              <w:t>minijack</w:t>
            </w:r>
            <w:proofErr w:type="spellEnd"/>
            <w:r w:rsidRPr="00BA42E9">
              <w:rPr>
                <w:rFonts w:ascii="Times New Roman" w:hAnsi="Times New Roman" w:cs="Times New Roman"/>
              </w:rPr>
              <w:t xml:space="preserve"> 3,5</w:t>
            </w:r>
            <w:r w:rsidR="00255E46">
              <w:rPr>
                <w:rFonts w:ascii="Times New Roman" w:hAnsi="Times New Roman" w:cs="Times New Roman"/>
              </w:rPr>
              <w:t xml:space="preserve"> </w:t>
            </w:r>
            <w:r w:rsidRPr="00BA42E9">
              <w:rPr>
                <w:rFonts w:ascii="Times New Roman" w:hAnsi="Times New Roman" w:cs="Times New Roman"/>
              </w:rPr>
              <w:t xml:space="preserve">mm </w:t>
            </w:r>
            <w:r w:rsidR="00255E46">
              <w:rPr>
                <w:rFonts w:ascii="Times New Roman" w:hAnsi="Times New Roman" w:cs="Times New Roman"/>
              </w:rPr>
              <w:t xml:space="preserve">– </w:t>
            </w:r>
            <w:r w:rsidRPr="00BA42E9">
              <w:rPr>
                <w:rFonts w:ascii="Times New Roman" w:hAnsi="Times New Roman" w:cs="Times New Roman"/>
              </w:rPr>
              <w:t>2</w:t>
            </w:r>
            <w:r w:rsidR="00255E46">
              <w:rPr>
                <w:rFonts w:ascii="Times New Roman" w:hAnsi="Times New Roman" w:cs="Times New Roman"/>
              </w:rPr>
              <w:t xml:space="preserve"> </w:t>
            </w:r>
            <w:r w:rsidRPr="00BA42E9">
              <w:rPr>
                <w:rFonts w:ascii="Times New Roman" w:hAnsi="Times New Roman" w:cs="Times New Roman"/>
              </w:rPr>
              <w:t>szt.</w:t>
            </w:r>
            <w:r w:rsidR="00255E46">
              <w:rPr>
                <w:rFonts w:ascii="Times New Roman" w:hAnsi="Times New Roman" w:cs="Times New Roman"/>
              </w:rPr>
              <w:t xml:space="preserve"> </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b/>
              </w:rPr>
            </w:pPr>
            <w:r w:rsidRPr="00BA42E9">
              <w:rPr>
                <w:rFonts w:ascii="Times New Roman" w:hAnsi="Times New Roman" w:cs="Times New Roman"/>
              </w:rPr>
              <w:t>4</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785438">
            <w:pPr>
              <w:snapToGrid w:val="0"/>
              <w:spacing w:after="0"/>
              <w:rPr>
                <w:rFonts w:ascii="Times New Roman" w:hAnsi="Times New Roman" w:cs="Times New Roman"/>
              </w:rPr>
            </w:pPr>
            <w:r w:rsidRPr="00BA42E9">
              <w:rPr>
                <w:rFonts w:ascii="Times New Roman" w:hAnsi="Times New Roman" w:cs="Times New Roman"/>
                <w:b/>
              </w:rPr>
              <w:t xml:space="preserve">Porty konsoli - </w:t>
            </w:r>
            <w:r w:rsidRPr="00BA42E9">
              <w:rPr>
                <w:rFonts w:ascii="Times New Roman" w:hAnsi="Times New Roman" w:cs="Times New Roman"/>
              </w:rPr>
              <w:t xml:space="preserve">USB (mysz) </w:t>
            </w:r>
            <w:r w:rsidR="00255E46">
              <w:rPr>
                <w:rFonts w:ascii="Times New Roman" w:hAnsi="Times New Roman" w:cs="Times New Roman"/>
              </w:rPr>
              <w:t xml:space="preserve">- </w:t>
            </w:r>
            <w:r w:rsidRPr="00BA42E9">
              <w:rPr>
                <w:rFonts w:ascii="Times New Roman" w:hAnsi="Times New Roman" w:cs="Times New Roman"/>
              </w:rPr>
              <w:t xml:space="preserve">1 szt., USB (klawiatura) </w:t>
            </w:r>
            <w:r w:rsidR="00255E46">
              <w:rPr>
                <w:rFonts w:ascii="Times New Roman" w:hAnsi="Times New Roman" w:cs="Times New Roman"/>
              </w:rPr>
              <w:t xml:space="preserve">- </w:t>
            </w:r>
            <w:r w:rsidRPr="00BA42E9">
              <w:rPr>
                <w:rFonts w:ascii="Times New Roman" w:hAnsi="Times New Roman" w:cs="Times New Roman"/>
              </w:rPr>
              <w:t xml:space="preserve">1 szt., VGA (D-SUB) </w:t>
            </w:r>
            <w:r w:rsidR="00255E46">
              <w:rPr>
                <w:rFonts w:ascii="Times New Roman" w:hAnsi="Times New Roman" w:cs="Times New Roman"/>
              </w:rPr>
              <w:t xml:space="preserve">- </w:t>
            </w:r>
            <w:r w:rsidRPr="00BA42E9">
              <w:rPr>
                <w:rFonts w:ascii="Times New Roman" w:hAnsi="Times New Roman" w:cs="Times New Roman"/>
              </w:rPr>
              <w:t xml:space="preserve">1 szt., wyjście audio </w:t>
            </w:r>
            <w:proofErr w:type="spellStart"/>
            <w:r w:rsidRPr="00BA42E9">
              <w:rPr>
                <w:rFonts w:ascii="Times New Roman" w:hAnsi="Times New Roman" w:cs="Times New Roman"/>
              </w:rPr>
              <w:t>minijack</w:t>
            </w:r>
            <w:proofErr w:type="spellEnd"/>
            <w:r w:rsidRPr="00BA42E9">
              <w:rPr>
                <w:rFonts w:ascii="Times New Roman" w:hAnsi="Times New Roman" w:cs="Times New Roman"/>
              </w:rPr>
              <w:t xml:space="preserve"> 3,5</w:t>
            </w:r>
            <w:r w:rsidR="00255E46">
              <w:rPr>
                <w:rFonts w:ascii="Times New Roman" w:hAnsi="Times New Roman" w:cs="Times New Roman"/>
              </w:rPr>
              <w:t xml:space="preserve"> </w:t>
            </w:r>
            <w:r w:rsidRPr="00BA42E9">
              <w:rPr>
                <w:rFonts w:ascii="Times New Roman" w:hAnsi="Times New Roman" w:cs="Times New Roman"/>
              </w:rPr>
              <w:t xml:space="preserve">mm </w:t>
            </w:r>
            <w:r w:rsidR="00255E46">
              <w:rPr>
                <w:rFonts w:ascii="Times New Roman" w:hAnsi="Times New Roman" w:cs="Times New Roman"/>
              </w:rPr>
              <w:t xml:space="preserve">- </w:t>
            </w:r>
            <w:r w:rsidRPr="00BA42E9">
              <w:rPr>
                <w:rFonts w:ascii="Times New Roman" w:hAnsi="Times New Roman" w:cs="Times New Roman"/>
              </w:rPr>
              <w:t>1 szt.</w:t>
            </w:r>
            <w:r w:rsidR="00255E46">
              <w:rPr>
                <w:rFonts w:ascii="Times New Roman" w:hAnsi="Times New Roman" w:cs="Times New Roman"/>
              </w:rPr>
              <w:t xml:space="preserve"> </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rPr>
            </w:pPr>
            <w:r w:rsidRPr="00BA42E9">
              <w:rPr>
                <w:rFonts w:ascii="Times New Roman" w:hAnsi="Times New Roman" w:cs="Times New Roman"/>
              </w:rPr>
              <w:t>5</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785438">
            <w:pPr>
              <w:snapToGrid w:val="0"/>
              <w:spacing w:after="0"/>
              <w:rPr>
                <w:rFonts w:ascii="Times New Roman" w:hAnsi="Times New Roman" w:cs="Times New Roman"/>
              </w:rPr>
            </w:pPr>
            <w:r w:rsidRPr="00BA42E9">
              <w:rPr>
                <w:rFonts w:ascii="Times New Roman" w:hAnsi="Times New Roman" w:cs="Times New Roman"/>
                <w:b/>
              </w:rPr>
              <w:t xml:space="preserve">Adapter DVI-D (M)/D-SUB (F) – </w:t>
            </w:r>
            <w:r w:rsidRPr="00BA42E9">
              <w:rPr>
                <w:rFonts w:ascii="Times New Roman" w:hAnsi="Times New Roman" w:cs="Times New Roman"/>
              </w:rPr>
              <w:t>2 sztuki</w:t>
            </w:r>
            <w:r w:rsidR="00255E46">
              <w:rPr>
                <w:rFonts w:ascii="Times New Roman" w:hAnsi="Times New Roman" w:cs="Times New Roman"/>
              </w:rPr>
              <w:t xml:space="preserve">. </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rPr>
            </w:pPr>
            <w:r w:rsidRPr="00BA42E9">
              <w:rPr>
                <w:rFonts w:ascii="Times New Roman" w:hAnsi="Times New Roman" w:cs="Times New Roman"/>
              </w:rPr>
              <w:t>6</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BA42E9">
            <w:pPr>
              <w:snapToGrid w:val="0"/>
              <w:spacing w:after="0"/>
              <w:rPr>
                <w:rFonts w:ascii="Times New Roman" w:hAnsi="Times New Roman" w:cs="Times New Roman"/>
              </w:rPr>
            </w:pPr>
            <w:r w:rsidRPr="00BA42E9">
              <w:rPr>
                <w:rFonts w:ascii="Times New Roman" w:hAnsi="Times New Roman" w:cs="Times New Roman"/>
                <w:b/>
              </w:rPr>
              <w:t xml:space="preserve">Rozdzielczość obrazu – </w:t>
            </w:r>
            <w:r w:rsidRPr="00BA42E9">
              <w:rPr>
                <w:rFonts w:ascii="Times New Roman" w:hAnsi="Times New Roman" w:cs="Times New Roman"/>
                <w:color w:val="000000" w:themeColor="text1"/>
              </w:rPr>
              <w:t>minimum 1920 x 1080</w:t>
            </w:r>
            <w:r w:rsidR="00255E46">
              <w:rPr>
                <w:rFonts w:ascii="Times New Roman" w:hAnsi="Times New Roman" w:cs="Times New Roman"/>
                <w:color w:val="000000" w:themeColor="text1"/>
              </w:rPr>
              <w:t>.</w:t>
            </w:r>
          </w:p>
        </w:tc>
      </w:tr>
      <w:tr w:rsidR="00BA42E9" w:rsidRPr="00BA42E9" w:rsidTr="00255E46">
        <w:tblPrEx>
          <w:tblCellMar>
            <w:left w:w="108" w:type="dxa"/>
            <w:right w:w="108" w:type="dxa"/>
          </w:tblCellMar>
        </w:tblPrEx>
        <w:trPr>
          <w:gridAfter w:val="1"/>
          <w:wAfter w:w="10" w:type="dxa"/>
          <w:trHeight w:val="567"/>
          <w:jc w:val="center"/>
        </w:trPr>
        <w:tc>
          <w:tcPr>
            <w:tcW w:w="709" w:type="dxa"/>
            <w:tcBorders>
              <w:top w:val="single" w:sz="4" w:space="0" w:color="000000"/>
              <w:left w:val="single" w:sz="4" w:space="0" w:color="000000"/>
              <w:bottom w:val="single" w:sz="4" w:space="0" w:color="000000"/>
            </w:tcBorders>
            <w:shd w:val="clear" w:color="auto" w:fill="auto"/>
            <w:vAlign w:val="center"/>
          </w:tcPr>
          <w:p w:rsidR="00BA42E9" w:rsidRPr="00BA42E9" w:rsidRDefault="00BA42E9" w:rsidP="00BA42E9">
            <w:pPr>
              <w:snapToGrid w:val="0"/>
              <w:spacing w:after="0"/>
              <w:jc w:val="center"/>
              <w:rPr>
                <w:rFonts w:ascii="Times New Roman" w:hAnsi="Times New Roman" w:cs="Times New Roman"/>
              </w:rPr>
            </w:pPr>
            <w:r w:rsidRPr="00BA42E9">
              <w:rPr>
                <w:rFonts w:ascii="Times New Roman" w:hAnsi="Times New Roman" w:cs="Times New Roman"/>
              </w:rPr>
              <w:t>7</w:t>
            </w:r>
          </w:p>
        </w:tc>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2E9" w:rsidRPr="00BA42E9" w:rsidRDefault="00BA42E9" w:rsidP="00BA42E9">
            <w:pPr>
              <w:snapToGrid w:val="0"/>
              <w:spacing w:after="0"/>
              <w:rPr>
                <w:rFonts w:ascii="Times New Roman" w:hAnsi="Times New Roman" w:cs="Times New Roman"/>
              </w:rPr>
            </w:pPr>
            <w:r w:rsidRPr="00BA42E9">
              <w:rPr>
                <w:rFonts w:ascii="Times New Roman" w:hAnsi="Times New Roman" w:cs="Times New Roman"/>
                <w:b/>
              </w:rPr>
              <w:t>Gwarancja –</w:t>
            </w:r>
            <w:r w:rsidR="00F64B7F">
              <w:rPr>
                <w:rFonts w:ascii="Times New Roman" w:hAnsi="Times New Roman" w:cs="Times New Roman"/>
                <w:b/>
              </w:rPr>
              <w:t xml:space="preserve"> </w:t>
            </w:r>
            <w:r w:rsidRPr="00BA42E9">
              <w:rPr>
                <w:rFonts w:ascii="Times New Roman" w:hAnsi="Times New Roman" w:cs="Times New Roman"/>
              </w:rPr>
              <w:t>24 miesiące</w:t>
            </w:r>
            <w:r w:rsidR="00255E46">
              <w:rPr>
                <w:rFonts w:ascii="Times New Roman" w:hAnsi="Times New Roman" w:cs="Times New Roman"/>
              </w:rPr>
              <w:t>.</w:t>
            </w:r>
          </w:p>
        </w:tc>
      </w:tr>
    </w:tbl>
    <w:p w:rsidR="00BA42E9" w:rsidRPr="00BA42E9" w:rsidRDefault="00BA42E9" w:rsidP="00BA42E9">
      <w:pPr>
        <w:rPr>
          <w:rFonts w:ascii="Times New Roman" w:hAnsi="Times New Roman" w:cs="Times New Roman"/>
        </w:rPr>
      </w:pPr>
    </w:p>
    <w:tbl>
      <w:tblPr>
        <w:tblW w:w="1025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43"/>
        <w:gridCol w:w="9508"/>
      </w:tblGrid>
      <w:tr w:rsidR="00BA42E9" w:rsidRPr="00BA42E9" w:rsidTr="00B9182E">
        <w:trPr>
          <w:trHeight w:val="567"/>
          <w:jc w:val="center"/>
        </w:trPr>
        <w:tc>
          <w:tcPr>
            <w:tcW w:w="709" w:type="dxa"/>
            <w:tcBorders>
              <w:top w:val="single" w:sz="4" w:space="0" w:color="000001"/>
              <w:left w:val="single" w:sz="4" w:space="0" w:color="000001"/>
              <w:bottom w:val="single" w:sz="4" w:space="0" w:color="000001"/>
            </w:tcBorders>
            <w:shd w:val="clear" w:color="auto" w:fill="A6A6A6" w:themeFill="background1" w:themeFillShade="A6"/>
            <w:tcMar>
              <w:left w:w="103" w:type="dxa"/>
            </w:tcMar>
            <w:vAlign w:val="center"/>
          </w:tcPr>
          <w:p w:rsidR="00BA42E9" w:rsidRPr="00BA42E9" w:rsidRDefault="00BA42E9" w:rsidP="00BA42E9">
            <w:pPr>
              <w:snapToGrid w:val="0"/>
              <w:spacing w:after="0" w:line="240" w:lineRule="atLeast"/>
              <w:ind w:left="-108"/>
              <w:jc w:val="center"/>
              <w:rPr>
                <w:rFonts w:ascii="Times New Roman" w:hAnsi="Times New Roman" w:cs="Times New Roman"/>
                <w:b/>
              </w:rPr>
            </w:pPr>
            <w:r w:rsidRPr="00BA42E9">
              <w:rPr>
                <w:rFonts w:ascii="Times New Roman" w:hAnsi="Times New Roman" w:cs="Times New Roman"/>
                <w:b/>
              </w:rPr>
              <w:lastRenderedPageBreak/>
              <w:t>L.p.</w:t>
            </w:r>
          </w:p>
        </w:tc>
        <w:tc>
          <w:tcPr>
            <w:tcW w:w="9072"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3" w:type="dxa"/>
            </w:tcMar>
            <w:vAlign w:val="center"/>
          </w:tcPr>
          <w:p w:rsidR="00BA42E9" w:rsidRPr="00BA42E9" w:rsidRDefault="00BA42E9" w:rsidP="00033C04">
            <w:pPr>
              <w:snapToGrid w:val="0"/>
              <w:spacing w:after="0" w:line="240" w:lineRule="atLeast"/>
              <w:jc w:val="center"/>
              <w:rPr>
                <w:rFonts w:ascii="Times New Roman" w:hAnsi="Times New Roman" w:cs="Times New Roman"/>
                <w:b/>
              </w:rPr>
            </w:pPr>
            <w:r w:rsidRPr="00BA42E9">
              <w:rPr>
                <w:rFonts w:ascii="Times New Roman" w:hAnsi="Times New Roman" w:cs="Times New Roman"/>
                <w:b/>
              </w:rPr>
              <w:t>Parametry wymagane</w:t>
            </w:r>
          </w:p>
        </w:tc>
      </w:tr>
      <w:tr w:rsidR="00BA42E9" w:rsidRPr="00BA42E9" w:rsidTr="00B9182E">
        <w:trPr>
          <w:trHeight w:val="567"/>
          <w:jc w:val="center"/>
        </w:trPr>
        <w:tc>
          <w:tcPr>
            <w:tcW w:w="978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3" w:type="dxa"/>
            </w:tcMar>
            <w:vAlign w:val="center"/>
          </w:tcPr>
          <w:p w:rsidR="00BA42E9" w:rsidRPr="00BA42E9" w:rsidRDefault="00BA42E9" w:rsidP="00033C04">
            <w:pPr>
              <w:pStyle w:val="Akapitzlist"/>
              <w:numPr>
                <w:ilvl w:val="0"/>
                <w:numId w:val="5"/>
              </w:numPr>
              <w:snapToGrid w:val="0"/>
              <w:spacing w:after="0" w:line="240" w:lineRule="atLeast"/>
              <w:ind w:left="568" w:hanging="284"/>
              <w:rPr>
                <w:rFonts w:ascii="Times New Roman" w:hAnsi="Times New Roman" w:cs="Times New Roman"/>
                <w:b/>
              </w:rPr>
            </w:pPr>
            <w:r w:rsidRPr="00BA42E9">
              <w:rPr>
                <w:rFonts w:ascii="Times New Roman" w:hAnsi="Times New Roman" w:cs="Times New Roman"/>
                <w:b/>
              </w:rPr>
              <w:t xml:space="preserve">Przełącznik sieciowy zarządzalny 8 portowy – 4 szt. </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snapToGrid w:val="0"/>
              <w:spacing w:after="0" w:line="240" w:lineRule="atLeast"/>
              <w:ind w:firstLine="11"/>
              <w:jc w:val="center"/>
              <w:rPr>
                <w:rFonts w:ascii="Times New Roman" w:hAnsi="Times New Roman" w:cs="Times New Roman"/>
                <w:color w:val="000000"/>
              </w:rPr>
            </w:pPr>
            <w:r w:rsidRPr="00BA42E9">
              <w:rPr>
                <w:rFonts w:ascii="Times New Roman" w:hAnsi="Times New Roman" w:cs="Times New Roman"/>
                <w:color w:val="000000"/>
              </w:rPr>
              <w:t>1</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785438">
            <w:pPr>
              <w:snapToGrid w:val="0"/>
              <w:spacing w:after="0" w:line="240" w:lineRule="atLeast"/>
              <w:ind w:left="39"/>
              <w:rPr>
                <w:rFonts w:ascii="Times New Roman" w:hAnsi="Times New Roman" w:cs="Times New Roman"/>
                <w:color w:val="000000"/>
              </w:rPr>
            </w:pPr>
            <w:r w:rsidRPr="00BA42E9">
              <w:rPr>
                <w:rFonts w:ascii="Times New Roman" w:hAnsi="Times New Roman" w:cs="Times New Roman"/>
                <w:b/>
                <w:color w:val="000000"/>
              </w:rPr>
              <w:t>Porty</w:t>
            </w:r>
            <w:r w:rsidR="00255E46">
              <w:rPr>
                <w:rFonts w:ascii="Times New Roman" w:hAnsi="Times New Roman" w:cs="Times New Roman"/>
                <w:b/>
                <w:color w:val="000000"/>
              </w:rPr>
              <w:t xml:space="preserve"> -</w:t>
            </w:r>
            <w:r w:rsidRPr="00BA42E9">
              <w:rPr>
                <w:rFonts w:ascii="Times New Roman" w:hAnsi="Times New Roman" w:cs="Times New Roman"/>
              </w:rPr>
              <w:t xml:space="preserve"> 8 portów typu 10/100/1000Base-T RJ-45</w:t>
            </w:r>
            <w:r w:rsidRPr="00BA42E9">
              <w:rPr>
                <w:rFonts w:ascii="Times New Roman" w:hAnsi="Times New Roman" w:cs="Times New Roman"/>
                <w:color w:val="000000"/>
              </w:rPr>
              <w:t xml:space="preserve"> </w:t>
            </w:r>
            <w:r w:rsidRPr="00BA42E9">
              <w:rPr>
                <w:rFonts w:ascii="Times New Roman" w:hAnsi="Times New Roman" w:cs="Times New Roman"/>
              </w:rPr>
              <w:t>Auto-MDI/MDI-X.</w:t>
            </w:r>
            <w:r w:rsidR="00255E46">
              <w:rPr>
                <w:rFonts w:ascii="Times New Roman" w:hAnsi="Times New Roman" w:cs="Times New Roman"/>
              </w:rPr>
              <w:t xml:space="preserve"> </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snapToGrid w:val="0"/>
              <w:spacing w:after="0" w:line="240" w:lineRule="atLeast"/>
              <w:ind w:firstLine="28"/>
              <w:jc w:val="center"/>
              <w:rPr>
                <w:rFonts w:ascii="Times New Roman" w:hAnsi="Times New Roman" w:cs="Times New Roman"/>
                <w:color w:val="000000"/>
              </w:rPr>
            </w:pPr>
            <w:r w:rsidRPr="00BA42E9">
              <w:rPr>
                <w:rFonts w:ascii="Times New Roman" w:hAnsi="Times New Roman" w:cs="Times New Roman"/>
                <w:color w:val="000000"/>
              </w:rPr>
              <w:t>2</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snapToGrid w:val="0"/>
              <w:spacing w:after="0" w:line="240" w:lineRule="atLeast"/>
              <w:ind w:left="57"/>
              <w:rPr>
                <w:rFonts w:ascii="Times New Roman" w:hAnsi="Times New Roman" w:cs="Times New Roman"/>
              </w:rPr>
            </w:pPr>
            <w:r w:rsidRPr="00BA42E9">
              <w:rPr>
                <w:rFonts w:ascii="Times New Roman" w:hAnsi="Times New Roman" w:cs="Times New Roman"/>
                <w:b/>
              </w:rPr>
              <w:t>Architektura przełącznika</w:t>
            </w:r>
            <w:r w:rsidR="00255E46">
              <w:rPr>
                <w:rFonts w:ascii="Times New Roman" w:hAnsi="Times New Roman" w:cs="Times New Roman"/>
                <w:b/>
              </w:rPr>
              <w:t xml:space="preserve"> -</w:t>
            </w:r>
            <w:r w:rsidRPr="00BA42E9">
              <w:rPr>
                <w:rFonts w:ascii="Times New Roman" w:eastAsia="Liberation Serif" w:hAnsi="Times New Roman" w:cs="Times New Roman"/>
              </w:rPr>
              <w:t xml:space="preserve"> </w:t>
            </w:r>
            <w:proofErr w:type="spellStart"/>
            <w:r w:rsidRPr="00BA42E9">
              <w:rPr>
                <w:rFonts w:ascii="Times New Roman" w:hAnsi="Times New Roman" w:cs="Times New Roman"/>
              </w:rPr>
              <w:t>Store</w:t>
            </w:r>
            <w:proofErr w:type="spellEnd"/>
            <w:r w:rsidRPr="00BA42E9">
              <w:rPr>
                <w:rFonts w:ascii="Times New Roman" w:hAnsi="Times New Roman" w:cs="Times New Roman"/>
              </w:rPr>
              <w:t>-and-</w:t>
            </w:r>
            <w:proofErr w:type="spellStart"/>
            <w:r w:rsidRPr="00BA42E9">
              <w:rPr>
                <w:rFonts w:ascii="Times New Roman" w:hAnsi="Times New Roman" w:cs="Times New Roman"/>
              </w:rPr>
              <w:t>Forward</w:t>
            </w:r>
            <w:proofErr w:type="spellEnd"/>
            <w:r w:rsidRPr="00BA42E9">
              <w:rPr>
                <w:rFonts w:ascii="Times New Roman" w:hAnsi="Times New Roman" w:cs="Times New Roman"/>
              </w:rPr>
              <w:t>.</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pStyle w:val="WW-Zawartotabeli1"/>
              <w:tabs>
                <w:tab w:val="left" w:pos="331"/>
              </w:tabs>
              <w:snapToGrid w:val="0"/>
              <w:spacing w:after="0" w:line="240" w:lineRule="atLeast"/>
              <w:ind w:left="227" w:hanging="227"/>
              <w:jc w:val="center"/>
              <w:rPr>
                <w:color w:val="000000"/>
                <w:sz w:val="22"/>
                <w:szCs w:val="22"/>
                <w:lang w:val="pl-PL"/>
              </w:rPr>
            </w:pPr>
            <w:r w:rsidRPr="00BA42E9">
              <w:rPr>
                <w:color w:val="000000"/>
                <w:sz w:val="22"/>
                <w:szCs w:val="22"/>
                <w:lang w:val="pl-PL"/>
              </w:rPr>
              <w:t>3</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pStyle w:val="WW-Zawartotabeli1"/>
              <w:tabs>
                <w:tab w:val="left" w:pos="331"/>
              </w:tabs>
              <w:snapToGrid w:val="0"/>
              <w:spacing w:after="0" w:line="240" w:lineRule="atLeast"/>
              <w:ind w:left="57"/>
              <w:rPr>
                <w:color w:val="000000"/>
                <w:sz w:val="22"/>
                <w:szCs w:val="22"/>
                <w:lang w:val="pl-PL"/>
              </w:rPr>
            </w:pPr>
            <w:r w:rsidRPr="00BA42E9">
              <w:rPr>
                <w:b/>
                <w:color w:val="000000"/>
                <w:sz w:val="22"/>
                <w:szCs w:val="22"/>
                <w:lang w:val="pl-PL"/>
              </w:rPr>
              <w:t>Obsługa dodatkowych technologii</w:t>
            </w:r>
            <w:r w:rsidR="00255E46">
              <w:rPr>
                <w:b/>
                <w:color w:val="000000"/>
                <w:sz w:val="22"/>
                <w:szCs w:val="22"/>
                <w:lang w:val="pl-PL"/>
              </w:rPr>
              <w:t xml:space="preserve"> -</w:t>
            </w:r>
            <w:r w:rsidRPr="00BA42E9">
              <w:rPr>
                <w:color w:val="000000"/>
                <w:sz w:val="22"/>
                <w:szCs w:val="22"/>
                <w:lang w:val="pl-PL"/>
              </w:rPr>
              <w:t xml:space="preserve"> IEEE 802.3u, 802.3ab,802.3x, 802.1p .</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tabs>
                <w:tab w:val="left" w:pos="2484"/>
              </w:tabs>
              <w:snapToGrid w:val="0"/>
              <w:spacing w:after="0" w:line="240" w:lineRule="atLeast"/>
              <w:ind w:left="22" w:firstLine="26"/>
              <w:jc w:val="center"/>
              <w:rPr>
                <w:rFonts w:ascii="Times New Roman" w:hAnsi="Times New Roman" w:cs="Times New Roman"/>
              </w:rPr>
            </w:pPr>
            <w:r w:rsidRPr="00BA42E9">
              <w:rPr>
                <w:rFonts w:ascii="Times New Roman" w:hAnsi="Times New Roman" w:cs="Times New Roman"/>
              </w:rPr>
              <w:t>4</w:t>
            </w:r>
          </w:p>
        </w:tc>
        <w:tc>
          <w:tcPr>
            <w:tcW w:w="90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tabs>
                <w:tab w:val="left" w:pos="2484"/>
              </w:tabs>
              <w:snapToGrid w:val="0"/>
              <w:spacing w:after="0" w:line="240" w:lineRule="atLeast"/>
              <w:ind w:left="57"/>
              <w:rPr>
                <w:rFonts w:ascii="Times New Roman" w:hAnsi="Times New Roman" w:cs="Times New Roman"/>
              </w:rPr>
            </w:pPr>
            <w:r w:rsidRPr="00255E46">
              <w:rPr>
                <w:rFonts w:ascii="Times New Roman" w:hAnsi="Times New Roman" w:cs="Times New Roman"/>
                <w:b/>
              </w:rPr>
              <w:t>Gwarancja</w:t>
            </w:r>
            <w:r w:rsidR="00255E46">
              <w:rPr>
                <w:rFonts w:ascii="Times New Roman" w:hAnsi="Times New Roman" w:cs="Times New Roman"/>
                <w:b/>
              </w:rPr>
              <w:t xml:space="preserve"> -</w:t>
            </w:r>
            <w:r w:rsidRPr="00BA42E9">
              <w:rPr>
                <w:rFonts w:ascii="Times New Roman" w:hAnsi="Times New Roman" w:cs="Times New Roman"/>
              </w:rPr>
              <w:t xml:space="preserve"> 24</w:t>
            </w:r>
            <w:r w:rsidR="00255E46">
              <w:rPr>
                <w:rFonts w:ascii="Times New Roman" w:hAnsi="Times New Roman" w:cs="Times New Roman"/>
              </w:rPr>
              <w:t xml:space="preserve"> </w:t>
            </w:r>
            <w:r w:rsidRPr="00BA42E9">
              <w:rPr>
                <w:rFonts w:ascii="Times New Roman" w:hAnsi="Times New Roman" w:cs="Times New Roman"/>
              </w:rPr>
              <w:t>miesiące.</w:t>
            </w:r>
          </w:p>
        </w:tc>
      </w:tr>
    </w:tbl>
    <w:p w:rsidR="00BA42E9" w:rsidRPr="00BA42E9" w:rsidRDefault="00BA42E9" w:rsidP="00255E46">
      <w:pPr>
        <w:spacing w:after="0" w:line="240" w:lineRule="auto"/>
        <w:rPr>
          <w:rFonts w:ascii="Times New Roman" w:hAnsi="Times New Roman" w:cs="Times New Roman"/>
        </w:rPr>
      </w:pPr>
    </w:p>
    <w:tbl>
      <w:tblPr>
        <w:tblW w:w="1025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9542"/>
      </w:tblGrid>
      <w:tr w:rsidR="00BA42E9" w:rsidRPr="00BA42E9" w:rsidTr="00B9182E">
        <w:trPr>
          <w:trHeight w:val="567"/>
          <w:jc w:val="center"/>
        </w:trPr>
        <w:tc>
          <w:tcPr>
            <w:tcW w:w="709" w:type="dxa"/>
            <w:tcBorders>
              <w:top w:val="single" w:sz="4" w:space="0" w:color="000001"/>
              <w:left w:val="single" w:sz="4" w:space="0" w:color="000001"/>
              <w:bottom w:val="single" w:sz="4" w:space="0" w:color="000001"/>
            </w:tcBorders>
            <w:shd w:val="clear" w:color="auto" w:fill="A6A6A6" w:themeFill="background1" w:themeFillShade="A6"/>
            <w:tcMar>
              <w:left w:w="103" w:type="dxa"/>
            </w:tcMar>
            <w:vAlign w:val="center"/>
          </w:tcPr>
          <w:p w:rsidR="00BA42E9" w:rsidRPr="00BA42E9" w:rsidRDefault="00BA42E9" w:rsidP="00BA42E9">
            <w:pPr>
              <w:snapToGrid w:val="0"/>
              <w:spacing w:after="0" w:line="240" w:lineRule="atLeast"/>
              <w:ind w:left="-108"/>
              <w:jc w:val="center"/>
              <w:rPr>
                <w:rFonts w:ascii="Times New Roman" w:hAnsi="Times New Roman" w:cs="Times New Roman"/>
                <w:b/>
              </w:rPr>
            </w:pPr>
            <w:r w:rsidRPr="00BA42E9">
              <w:rPr>
                <w:rFonts w:ascii="Times New Roman" w:hAnsi="Times New Roman" w:cs="Times New Roman"/>
                <w:b/>
              </w:rPr>
              <w:t>L.p.</w:t>
            </w:r>
          </w:p>
        </w:tc>
        <w:tc>
          <w:tcPr>
            <w:tcW w:w="0" w:type="auto"/>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3" w:type="dxa"/>
            </w:tcMar>
            <w:vAlign w:val="center"/>
          </w:tcPr>
          <w:p w:rsidR="00BA42E9" w:rsidRPr="00BA42E9" w:rsidRDefault="00BA42E9" w:rsidP="00033C04">
            <w:pPr>
              <w:snapToGrid w:val="0"/>
              <w:spacing w:after="0" w:line="240" w:lineRule="atLeast"/>
              <w:jc w:val="center"/>
              <w:rPr>
                <w:rFonts w:ascii="Times New Roman" w:hAnsi="Times New Roman" w:cs="Times New Roman"/>
                <w:b/>
              </w:rPr>
            </w:pPr>
            <w:r w:rsidRPr="00BA42E9">
              <w:rPr>
                <w:rFonts w:ascii="Times New Roman" w:hAnsi="Times New Roman" w:cs="Times New Roman"/>
                <w:b/>
              </w:rPr>
              <w:t>Parametry wymagane</w:t>
            </w:r>
          </w:p>
        </w:tc>
      </w:tr>
      <w:tr w:rsidR="00BA42E9" w:rsidRPr="00BA42E9" w:rsidTr="00B9182E">
        <w:trPr>
          <w:trHeight w:val="567"/>
          <w:jc w:val="center"/>
        </w:trPr>
        <w:tc>
          <w:tcPr>
            <w:tcW w:w="0" w:type="auto"/>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103" w:type="dxa"/>
            </w:tcMar>
            <w:vAlign w:val="center"/>
          </w:tcPr>
          <w:p w:rsidR="00BA42E9" w:rsidRPr="00BA42E9" w:rsidRDefault="00BA42E9" w:rsidP="00033C04">
            <w:pPr>
              <w:pStyle w:val="Akapitzlist"/>
              <w:numPr>
                <w:ilvl w:val="0"/>
                <w:numId w:val="5"/>
              </w:numPr>
              <w:snapToGrid w:val="0"/>
              <w:spacing w:after="0" w:line="240" w:lineRule="atLeast"/>
              <w:ind w:left="568" w:hanging="284"/>
              <w:rPr>
                <w:rFonts w:ascii="Times New Roman" w:hAnsi="Times New Roman" w:cs="Times New Roman"/>
                <w:b/>
              </w:rPr>
            </w:pPr>
            <w:r w:rsidRPr="00BA42E9">
              <w:rPr>
                <w:rFonts w:ascii="Times New Roman" w:hAnsi="Times New Roman" w:cs="Times New Roman"/>
                <w:b/>
              </w:rPr>
              <w:t xml:space="preserve">Przełącznik sieciowy – 13 szt. </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snapToGrid w:val="0"/>
              <w:spacing w:after="0" w:line="240" w:lineRule="atLeast"/>
              <w:ind w:firstLine="11"/>
              <w:jc w:val="center"/>
              <w:rPr>
                <w:rFonts w:ascii="Times New Roman" w:hAnsi="Times New Roman" w:cs="Times New Roman"/>
                <w:color w:val="000000"/>
              </w:rPr>
            </w:pPr>
            <w:r w:rsidRPr="00BA42E9">
              <w:rPr>
                <w:rFonts w:ascii="Times New Roman" w:hAnsi="Times New Roman" w:cs="Times New Roman"/>
                <w:color w:val="000000"/>
              </w:rPr>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785438">
            <w:pPr>
              <w:snapToGrid w:val="0"/>
              <w:spacing w:after="0" w:line="240" w:lineRule="atLeast"/>
              <w:rPr>
                <w:rFonts w:ascii="Times New Roman" w:hAnsi="Times New Roman" w:cs="Times New Roman"/>
                <w:color w:val="000000"/>
              </w:rPr>
            </w:pPr>
            <w:r w:rsidRPr="00BA42E9">
              <w:rPr>
                <w:rFonts w:ascii="Times New Roman" w:hAnsi="Times New Roman" w:cs="Times New Roman"/>
                <w:b/>
                <w:color w:val="000000"/>
              </w:rPr>
              <w:t xml:space="preserve"> Porty</w:t>
            </w:r>
            <w:r w:rsidR="00255E46">
              <w:rPr>
                <w:rFonts w:ascii="Times New Roman" w:hAnsi="Times New Roman" w:cs="Times New Roman"/>
                <w:b/>
                <w:color w:val="000000"/>
              </w:rPr>
              <w:t xml:space="preserve"> -</w:t>
            </w:r>
            <w:r w:rsidRPr="00BA42E9">
              <w:rPr>
                <w:rFonts w:ascii="Times New Roman" w:hAnsi="Times New Roman" w:cs="Times New Roman"/>
              </w:rPr>
              <w:t xml:space="preserve"> 5 portów typu 10/100/1000 </w:t>
            </w:r>
            <w:proofErr w:type="spellStart"/>
            <w:r w:rsidRPr="00BA42E9">
              <w:rPr>
                <w:rFonts w:ascii="Times New Roman" w:hAnsi="Times New Roman" w:cs="Times New Roman"/>
              </w:rPr>
              <w:t>Mb</w:t>
            </w:r>
            <w:proofErr w:type="spellEnd"/>
            <w:r w:rsidRPr="00BA42E9">
              <w:rPr>
                <w:rFonts w:ascii="Times New Roman" w:hAnsi="Times New Roman" w:cs="Times New Roman"/>
              </w:rPr>
              <w:t>/s RJ-45</w:t>
            </w:r>
            <w:r w:rsidRPr="00BA42E9">
              <w:rPr>
                <w:rFonts w:ascii="Times New Roman" w:hAnsi="Times New Roman" w:cs="Times New Roman"/>
                <w:color w:val="000000"/>
              </w:rPr>
              <w:t xml:space="preserve"> </w:t>
            </w:r>
            <w:r w:rsidRPr="00BA42E9">
              <w:rPr>
                <w:rFonts w:ascii="Times New Roman" w:hAnsi="Times New Roman" w:cs="Times New Roman"/>
              </w:rPr>
              <w:t>Auto-MDI/MDI-X.</w:t>
            </w:r>
            <w:r w:rsidR="00255E46">
              <w:rPr>
                <w:rFonts w:ascii="Times New Roman" w:hAnsi="Times New Roman" w:cs="Times New Roman"/>
              </w:rPr>
              <w:t xml:space="preserve"> </w:t>
            </w:r>
            <w:bookmarkStart w:id="0" w:name="_GoBack"/>
            <w:bookmarkEnd w:id="0"/>
          </w:p>
        </w:tc>
      </w:tr>
      <w:tr w:rsidR="00BA42E9" w:rsidRPr="00BA42E9" w:rsidTr="00255E46">
        <w:trPr>
          <w:trHeight w:val="567"/>
          <w:jc w:val="center"/>
        </w:trPr>
        <w:tc>
          <w:tcPr>
            <w:tcW w:w="709" w:type="dxa"/>
            <w:tcBorders>
              <w:left w:val="single" w:sz="4" w:space="0" w:color="000001"/>
              <w:bottom w:val="single" w:sz="4" w:space="0" w:color="000001"/>
            </w:tcBorders>
            <w:shd w:val="clear" w:color="auto" w:fill="FFFFFF"/>
            <w:tcMar>
              <w:left w:w="103" w:type="dxa"/>
            </w:tcMar>
            <w:vAlign w:val="center"/>
          </w:tcPr>
          <w:p w:rsidR="00BA42E9" w:rsidRPr="00BA42E9" w:rsidRDefault="00BA42E9" w:rsidP="00BA42E9">
            <w:pPr>
              <w:pStyle w:val="WW-Zawartotabeli1"/>
              <w:tabs>
                <w:tab w:val="left" w:pos="331"/>
              </w:tabs>
              <w:snapToGrid w:val="0"/>
              <w:spacing w:after="0" w:line="240" w:lineRule="atLeast"/>
              <w:ind w:left="227" w:hanging="227"/>
              <w:jc w:val="center"/>
              <w:rPr>
                <w:color w:val="000000"/>
                <w:sz w:val="22"/>
                <w:szCs w:val="22"/>
                <w:lang w:val="pl-PL"/>
              </w:rPr>
            </w:pPr>
            <w:r w:rsidRPr="00BA42E9">
              <w:rPr>
                <w:color w:val="000000"/>
                <w:sz w:val="22"/>
                <w:szCs w:val="22"/>
                <w:lang w:val="pl-PL"/>
              </w:rPr>
              <w:t>2</w:t>
            </w:r>
          </w:p>
        </w:tc>
        <w:tc>
          <w:tcPr>
            <w:tcW w:w="0" w:type="auto"/>
            <w:tcBorders>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pStyle w:val="WW-Zawartotabeli1"/>
              <w:snapToGrid w:val="0"/>
              <w:spacing w:after="0" w:line="240" w:lineRule="atLeast"/>
              <w:ind w:left="39"/>
              <w:jc w:val="both"/>
              <w:rPr>
                <w:color w:val="000000"/>
                <w:sz w:val="22"/>
                <w:szCs w:val="22"/>
                <w:lang w:val="pl-PL"/>
              </w:rPr>
            </w:pPr>
            <w:r w:rsidRPr="00BA42E9">
              <w:rPr>
                <w:b/>
                <w:color w:val="000000"/>
                <w:sz w:val="22"/>
                <w:szCs w:val="22"/>
              </w:rPr>
              <w:t>Architektura przełącznika</w:t>
            </w:r>
            <w:r w:rsidR="00255E46">
              <w:rPr>
                <w:b/>
                <w:color w:val="000000"/>
                <w:sz w:val="22"/>
                <w:szCs w:val="22"/>
                <w:lang w:val="pl-PL"/>
              </w:rPr>
              <w:t xml:space="preserve"> -</w:t>
            </w:r>
            <w:r w:rsidRPr="00BA42E9">
              <w:rPr>
                <w:rFonts w:eastAsia="Liberation Serif"/>
                <w:color w:val="000000"/>
                <w:sz w:val="22"/>
                <w:szCs w:val="22"/>
              </w:rPr>
              <w:t xml:space="preserve"> </w:t>
            </w:r>
            <w:proofErr w:type="spellStart"/>
            <w:r w:rsidRPr="00BA42E9">
              <w:rPr>
                <w:color w:val="000000"/>
                <w:sz w:val="22"/>
                <w:szCs w:val="22"/>
              </w:rPr>
              <w:t>Store</w:t>
            </w:r>
            <w:proofErr w:type="spellEnd"/>
            <w:r w:rsidRPr="00BA42E9">
              <w:rPr>
                <w:color w:val="000000"/>
                <w:sz w:val="22"/>
                <w:szCs w:val="22"/>
              </w:rPr>
              <w:t>-and-</w:t>
            </w:r>
            <w:proofErr w:type="spellStart"/>
            <w:r w:rsidRPr="00BA42E9">
              <w:rPr>
                <w:color w:val="000000"/>
                <w:sz w:val="22"/>
                <w:szCs w:val="22"/>
              </w:rPr>
              <w:t>Forward</w:t>
            </w:r>
            <w:proofErr w:type="spellEnd"/>
            <w:r w:rsidRPr="00BA42E9">
              <w:rPr>
                <w:color w:val="000000"/>
                <w:sz w:val="22"/>
                <w:szCs w:val="22"/>
              </w:rPr>
              <w:t>.</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pStyle w:val="WW-Zawartotabeli1"/>
              <w:tabs>
                <w:tab w:val="left" w:pos="331"/>
              </w:tabs>
              <w:snapToGrid w:val="0"/>
              <w:spacing w:after="0" w:line="240" w:lineRule="atLeast"/>
              <w:ind w:left="227" w:hanging="227"/>
              <w:jc w:val="center"/>
              <w:rPr>
                <w:color w:val="000000"/>
                <w:sz w:val="22"/>
                <w:szCs w:val="22"/>
                <w:lang w:val="pl-PL"/>
              </w:rPr>
            </w:pPr>
            <w:r w:rsidRPr="00BA42E9">
              <w:rPr>
                <w:color w:val="000000"/>
                <w:sz w:val="22"/>
                <w:szCs w:val="22"/>
                <w:lang w:val="pl-PL"/>
              </w:rPr>
              <w:t>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pStyle w:val="WW-Zawartotabeli1"/>
              <w:tabs>
                <w:tab w:val="left" w:pos="331"/>
              </w:tabs>
              <w:snapToGrid w:val="0"/>
              <w:spacing w:after="0" w:line="240" w:lineRule="atLeast"/>
              <w:ind w:left="57"/>
              <w:rPr>
                <w:sz w:val="22"/>
                <w:szCs w:val="22"/>
              </w:rPr>
            </w:pPr>
            <w:r w:rsidRPr="00BA42E9">
              <w:rPr>
                <w:b/>
                <w:color w:val="000000"/>
                <w:sz w:val="22"/>
                <w:szCs w:val="22"/>
                <w:lang w:val="pl-PL"/>
              </w:rPr>
              <w:t>Obsługa dodatkowych technologii</w:t>
            </w:r>
            <w:r w:rsidR="00255E46">
              <w:rPr>
                <w:b/>
                <w:color w:val="000000"/>
                <w:sz w:val="22"/>
                <w:szCs w:val="22"/>
                <w:lang w:val="pl-PL"/>
              </w:rPr>
              <w:t xml:space="preserve"> -</w:t>
            </w:r>
            <w:r w:rsidRPr="00BA42E9">
              <w:rPr>
                <w:rFonts w:eastAsiaTheme="minorHAnsi"/>
                <w:kern w:val="0"/>
                <w:sz w:val="22"/>
                <w:szCs w:val="22"/>
                <w:lang w:val="pl-PL" w:eastAsia="en-US"/>
              </w:rPr>
              <w:t xml:space="preserve"> </w:t>
            </w:r>
            <w:r w:rsidRPr="00BA42E9">
              <w:rPr>
                <w:color w:val="000000"/>
                <w:sz w:val="22"/>
                <w:szCs w:val="22"/>
                <w:lang w:val="pl-PL"/>
              </w:rPr>
              <w:t>IEEE 802.3u, 802.3ab,802.3x, 802.1p .</w:t>
            </w:r>
          </w:p>
        </w:tc>
      </w:tr>
      <w:tr w:rsidR="00BA42E9" w:rsidRPr="00BA42E9" w:rsidTr="00255E46">
        <w:trPr>
          <w:trHeight w:val="567"/>
          <w:jc w:val="center"/>
        </w:trPr>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BA42E9" w:rsidRPr="00BA42E9" w:rsidRDefault="00BA42E9" w:rsidP="00BA42E9">
            <w:pPr>
              <w:tabs>
                <w:tab w:val="left" w:pos="2484"/>
              </w:tabs>
              <w:snapToGrid w:val="0"/>
              <w:spacing w:after="0" w:line="240" w:lineRule="atLeast"/>
              <w:ind w:left="22" w:firstLine="26"/>
              <w:jc w:val="center"/>
              <w:rPr>
                <w:rFonts w:ascii="Times New Roman" w:hAnsi="Times New Roman" w:cs="Times New Roman"/>
              </w:rPr>
            </w:pPr>
            <w:r w:rsidRPr="00BA42E9">
              <w:rPr>
                <w:rFonts w:ascii="Times New Roman" w:hAnsi="Times New Roman" w:cs="Times New Roman"/>
              </w:rPr>
              <w:t>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A42E9" w:rsidRPr="00BA42E9" w:rsidRDefault="00BA42E9" w:rsidP="00BA42E9">
            <w:pPr>
              <w:tabs>
                <w:tab w:val="left" w:pos="2484"/>
              </w:tabs>
              <w:snapToGrid w:val="0"/>
              <w:spacing w:after="0" w:line="240" w:lineRule="atLeast"/>
              <w:ind w:left="57"/>
              <w:rPr>
                <w:rFonts w:ascii="Times New Roman" w:hAnsi="Times New Roman" w:cs="Times New Roman"/>
              </w:rPr>
            </w:pPr>
            <w:r w:rsidRPr="00255E46">
              <w:rPr>
                <w:rFonts w:ascii="Times New Roman" w:hAnsi="Times New Roman" w:cs="Times New Roman"/>
                <w:b/>
              </w:rPr>
              <w:t>Gwarancja</w:t>
            </w:r>
            <w:r w:rsidR="00255E46">
              <w:rPr>
                <w:rFonts w:ascii="Times New Roman" w:hAnsi="Times New Roman" w:cs="Times New Roman"/>
                <w:b/>
              </w:rPr>
              <w:t xml:space="preserve"> -</w:t>
            </w:r>
            <w:r w:rsidRPr="00BA42E9">
              <w:rPr>
                <w:rFonts w:ascii="Times New Roman" w:hAnsi="Times New Roman" w:cs="Times New Roman"/>
              </w:rPr>
              <w:t xml:space="preserve"> 24</w:t>
            </w:r>
            <w:r w:rsidR="00255E46">
              <w:rPr>
                <w:rFonts w:ascii="Times New Roman" w:hAnsi="Times New Roman" w:cs="Times New Roman"/>
              </w:rPr>
              <w:t xml:space="preserve"> </w:t>
            </w:r>
            <w:r w:rsidRPr="00BA42E9">
              <w:rPr>
                <w:rFonts w:ascii="Times New Roman" w:hAnsi="Times New Roman" w:cs="Times New Roman"/>
              </w:rPr>
              <w:t>miesiące.</w:t>
            </w:r>
          </w:p>
        </w:tc>
      </w:tr>
    </w:tbl>
    <w:p w:rsidR="00F8462A" w:rsidRPr="00BA42E9" w:rsidRDefault="00F8462A">
      <w:pPr>
        <w:rPr>
          <w:rFonts w:ascii="Times New Roman" w:hAnsi="Times New Roman" w:cs="Times New Roman"/>
        </w:rPr>
      </w:pPr>
    </w:p>
    <w:sectPr w:rsidR="00F8462A" w:rsidRPr="00BA42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FB" w:rsidRDefault="00BA7FFB" w:rsidP="00AE02C0">
      <w:pPr>
        <w:spacing w:after="0" w:line="240" w:lineRule="auto"/>
      </w:pPr>
      <w:r>
        <w:separator/>
      </w:r>
    </w:p>
  </w:endnote>
  <w:endnote w:type="continuationSeparator" w:id="0">
    <w:p w:rsidR="00BA7FFB" w:rsidRDefault="00BA7FFB" w:rsidP="00A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altName w:val="MS Gothic"/>
    <w:charset w:val="80"/>
    <w:family w:val="roman"/>
    <w:pitch w:val="default"/>
  </w:font>
  <w:font w:name="WenQuanYi Zen Hei">
    <w:panose1 w:val="00000000000000000000"/>
    <w:charset w:val="00"/>
    <w:family w:val="roman"/>
    <w:notTrueType/>
    <w:pitch w:val="default"/>
  </w:font>
  <w:font w:name="Liberation Serif">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97671"/>
      <w:docPartObj>
        <w:docPartGallery w:val="Page Numbers (Bottom of Page)"/>
        <w:docPartUnique/>
      </w:docPartObj>
    </w:sdtPr>
    <w:sdtEndPr/>
    <w:sdtContent>
      <w:p w:rsidR="00AE02C0" w:rsidRDefault="00AE02C0">
        <w:pPr>
          <w:pStyle w:val="Stopka"/>
          <w:jc w:val="right"/>
        </w:pPr>
        <w:r w:rsidRPr="00AE02C0">
          <w:rPr>
            <w:rFonts w:ascii="Times New Roman" w:hAnsi="Times New Roman" w:cs="Times New Roman"/>
            <w:sz w:val="20"/>
            <w:szCs w:val="20"/>
          </w:rPr>
          <w:fldChar w:fldCharType="begin"/>
        </w:r>
        <w:r w:rsidRPr="00AE02C0">
          <w:rPr>
            <w:rFonts w:ascii="Times New Roman" w:hAnsi="Times New Roman" w:cs="Times New Roman"/>
            <w:sz w:val="20"/>
            <w:szCs w:val="20"/>
          </w:rPr>
          <w:instrText>PAGE   \* MERGEFORMAT</w:instrText>
        </w:r>
        <w:r w:rsidRPr="00AE02C0">
          <w:rPr>
            <w:rFonts w:ascii="Times New Roman" w:hAnsi="Times New Roman" w:cs="Times New Roman"/>
            <w:sz w:val="20"/>
            <w:szCs w:val="20"/>
          </w:rPr>
          <w:fldChar w:fldCharType="separate"/>
        </w:r>
        <w:r w:rsidR="00785438">
          <w:rPr>
            <w:rFonts w:ascii="Times New Roman" w:hAnsi="Times New Roman" w:cs="Times New Roman"/>
            <w:noProof/>
            <w:sz w:val="20"/>
            <w:szCs w:val="20"/>
          </w:rPr>
          <w:t>2</w:t>
        </w:r>
        <w:r w:rsidRPr="00AE02C0">
          <w:rPr>
            <w:rFonts w:ascii="Times New Roman" w:hAnsi="Times New Roman" w:cs="Times New Roman"/>
            <w:sz w:val="20"/>
            <w:szCs w:val="20"/>
          </w:rPr>
          <w:fldChar w:fldCharType="end"/>
        </w:r>
      </w:p>
    </w:sdtContent>
  </w:sdt>
  <w:p w:rsidR="00AE02C0" w:rsidRDefault="00AE02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FB" w:rsidRDefault="00BA7FFB" w:rsidP="00AE02C0">
      <w:pPr>
        <w:spacing w:after="0" w:line="240" w:lineRule="auto"/>
      </w:pPr>
      <w:r>
        <w:separator/>
      </w:r>
    </w:p>
  </w:footnote>
  <w:footnote w:type="continuationSeparator" w:id="0">
    <w:p w:rsidR="00BA7FFB" w:rsidRDefault="00BA7FFB" w:rsidP="00AE0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C0" w:rsidRDefault="00AE02C0">
    <w:pPr>
      <w:pStyle w:val="Nagwek"/>
    </w:pPr>
    <w:r>
      <w:rPr>
        <w:rFonts w:ascii="Times New Roman" w:hAnsi="Times New Roman" w:cs="Times New Roman"/>
        <w:sz w:val="20"/>
        <w:szCs w:val="20"/>
      </w:rPr>
      <w:t>WO-IV.272.28.2018</w:t>
    </w:r>
    <w:r>
      <w:rPr>
        <w:rFonts w:ascii="Times New Roman" w:hAnsi="Times New Roman" w:cs="Times New Roman"/>
        <w:sz w:val="20"/>
        <w:szCs w:val="20"/>
      </w:rPr>
      <w:tab/>
      <w:t xml:space="preserve">                                           Załącznik nr 7 do Specyfikacji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A5BA1"/>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46864AD"/>
    <w:multiLevelType w:val="hybridMultilevel"/>
    <w:tmpl w:val="EF900D46"/>
    <w:lvl w:ilvl="0" w:tplc="5D4E0B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3007B4"/>
    <w:multiLevelType w:val="hybridMultilevel"/>
    <w:tmpl w:val="0A583772"/>
    <w:lvl w:ilvl="0" w:tplc="95901D34">
      <w:start w:val="1"/>
      <w:numFmt w:val="decimal"/>
      <w:lvlText w:val="%1."/>
      <w:lvlJc w:val="left"/>
      <w:pPr>
        <w:ind w:left="1068" w:hanging="360"/>
      </w:pPr>
      <w:rPr>
        <w:b/>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7B886FB3"/>
    <w:multiLevelType w:val="multilevel"/>
    <w:tmpl w:val="E5C4223C"/>
    <w:lvl w:ilvl="0">
      <w:start w:val="1"/>
      <w:numFmt w:val="decimal"/>
      <w:lvlText w:val="%1."/>
      <w:lvlJc w:val="left"/>
      <w:pPr>
        <w:ind w:left="928"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24"/>
    <w:rsid w:val="000210A1"/>
    <w:rsid w:val="00033C04"/>
    <w:rsid w:val="00124036"/>
    <w:rsid w:val="00255E46"/>
    <w:rsid w:val="00447081"/>
    <w:rsid w:val="006322DB"/>
    <w:rsid w:val="00785438"/>
    <w:rsid w:val="00AB1124"/>
    <w:rsid w:val="00AE02C0"/>
    <w:rsid w:val="00AF1777"/>
    <w:rsid w:val="00B9182E"/>
    <w:rsid w:val="00BA42E9"/>
    <w:rsid w:val="00BA7FFB"/>
    <w:rsid w:val="00CE6792"/>
    <w:rsid w:val="00CF173E"/>
    <w:rsid w:val="00D97246"/>
    <w:rsid w:val="00F34F2A"/>
    <w:rsid w:val="00F64B7F"/>
    <w:rsid w:val="00F8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1FCD4-5BE1-40A7-8B8E-BCD1654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A42E9"/>
    <w:pPr>
      <w:ind w:left="720"/>
      <w:contextualSpacing/>
    </w:pPr>
  </w:style>
  <w:style w:type="paragraph" w:customStyle="1" w:styleId="WW-Zawartotabeli1">
    <w:name w:val="WW-Zawartość tabeli1"/>
    <w:basedOn w:val="Tekstpodstawowy"/>
    <w:qFormat/>
    <w:rsid w:val="00BA42E9"/>
    <w:pPr>
      <w:widowControl w:val="0"/>
      <w:suppressLineNumbers/>
      <w:suppressAutoHyphens/>
      <w:spacing w:line="240" w:lineRule="auto"/>
    </w:pPr>
    <w:rPr>
      <w:rFonts w:ascii="Times New Roman" w:eastAsia="Times New Roman" w:hAnsi="Times New Roman" w:cs="Times New Roman"/>
      <w:kern w:val="1"/>
      <w:sz w:val="24"/>
      <w:szCs w:val="24"/>
      <w:lang w:val="x-none" w:eastAsia="zh-CN"/>
    </w:rPr>
  </w:style>
  <w:style w:type="character" w:customStyle="1" w:styleId="AkapitzlistZnak">
    <w:name w:val="Akapit z listą Znak"/>
    <w:link w:val="Akapitzlist"/>
    <w:uiPriority w:val="34"/>
    <w:qFormat/>
    <w:rsid w:val="00BA42E9"/>
  </w:style>
  <w:style w:type="paragraph" w:customStyle="1" w:styleId="Normal1">
    <w:name w:val="Normal1"/>
    <w:qFormat/>
    <w:rsid w:val="00BA42E9"/>
    <w:pPr>
      <w:widowControl w:val="0"/>
      <w:suppressAutoHyphens/>
      <w:spacing w:after="0" w:line="240" w:lineRule="auto"/>
    </w:pPr>
    <w:rPr>
      <w:rFonts w:ascii="Times New Roman" w:eastAsia="ヒラギノ角ゴ Pro W3" w:hAnsi="Times New Roman" w:cs="Times New Roman"/>
      <w:color w:val="000000"/>
      <w:sz w:val="24"/>
      <w:szCs w:val="20"/>
      <w:lang w:val="en-US" w:eastAsia="zh-CN"/>
    </w:rPr>
  </w:style>
  <w:style w:type="character" w:customStyle="1" w:styleId="Wyrnienie">
    <w:name w:val="Wyróżnienie"/>
    <w:qFormat/>
    <w:rsid w:val="00BA42E9"/>
    <w:rPr>
      <w:i/>
      <w:iCs/>
    </w:rPr>
  </w:style>
  <w:style w:type="character" w:styleId="Pogrubienie">
    <w:name w:val="Strong"/>
    <w:basedOn w:val="Domylnaczcionkaakapitu"/>
    <w:qFormat/>
    <w:rsid w:val="00BA42E9"/>
    <w:rPr>
      <w:b/>
      <w:bCs/>
    </w:rPr>
  </w:style>
  <w:style w:type="paragraph" w:styleId="Tekstpodstawowy">
    <w:name w:val="Body Text"/>
    <w:basedOn w:val="Normalny"/>
    <w:link w:val="TekstpodstawowyZnak"/>
    <w:uiPriority w:val="99"/>
    <w:semiHidden/>
    <w:unhideWhenUsed/>
    <w:rsid w:val="00BA42E9"/>
    <w:pPr>
      <w:spacing w:after="120"/>
    </w:pPr>
  </w:style>
  <w:style w:type="character" w:customStyle="1" w:styleId="TekstpodstawowyZnak">
    <w:name w:val="Tekst podstawowy Znak"/>
    <w:basedOn w:val="Domylnaczcionkaakapitu"/>
    <w:link w:val="Tekstpodstawowy"/>
    <w:uiPriority w:val="99"/>
    <w:semiHidden/>
    <w:rsid w:val="00BA42E9"/>
  </w:style>
  <w:style w:type="paragraph" w:styleId="Nagwek">
    <w:name w:val="header"/>
    <w:basedOn w:val="Normalny"/>
    <w:link w:val="NagwekZnak"/>
    <w:uiPriority w:val="99"/>
    <w:unhideWhenUsed/>
    <w:rsid w:val="00AE0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2C0"/>
  </w:style>
  <w:style w:type="paragraph" w:styleId="Stopka">
    <w:name w:val="footer"/>
    <w:basedOn w:val="Normalny"/>
    <w:link w:val="StopkaZnak"/>
    <w:uiPriority w:val="99"/>
    <w:unhideWhenUsed/>
    <w:rsid w:val="00AE02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430</Words>
  <Characters>2584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serwis</cp:lastModifiedBy>
  <cp:revision>17</cp:revision>
  <dcterms:created xsi:type="dcterms:W3CDTF">2018-08-22T09:27:00Z</dcterms:created>
  <dcterms:modified xsi:type="dcterms:W3CDTF">2018-09-17T10:23:00Z</dcterms:modified>
</cp:coreProperties>
</file>